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B" w:rsidRPr="000D4CD7" w:rsidRDefault="00360E2C" w:rsidP="00D35F7B">
      <w:pPr>
        <w:pStyle w:val="Ttulo3"/>
        <w:rPr>
          <w:b/>
          <w:u w:val="none"/>
        </w:rPr>
      </w:pPr>
      <w:r>
        <w:rPr>
          <w:b/>
          <w:u w:val="none"/>
        </w:rPr>
        <w:t xml:space="preserve">Theories of </w:t>
      </w:r>
      <w:r w:rsidR="000D4CD7" w:rsidRPr="000D4CD7">
        <w:rPr>
          <w:b/>
          <w:u w:val="none"/>
        </w:rPr>
        <w:t>Acti</w:t>
      </w:r>
      <w:r>
        <w:rPr>
          <w:b/>
          <w:u w:val="none"/>
        </w:rPr>
        <w:t>on in Contemporary Sociology</w:t>
      </w:r>
      <w:r w:rsidR="000D4CD7" w:rsidRPr="000D4CD7">
        <w:rPr>
          <w:b/>
          <w:u w:val="none"/>
        </w:rPr>
        <w:t xml:space="preserve"> </w:t>
      </w:r>
    </w:p>
    <w:p w:rsidR="00D35F7B" w:rsidRPr="000D4CD7" w:rsidRDefault="00D35F7B" w:rsidP="00D35F7B">
      <w:pPr>
        <w:pStyle w:val="Ttulo3"/>
        <w:rPr>
          <w:u w:val="none"/>
          <w:lang w:val="pt-BR"/>
        </w:rPr>
      </w:pPr>
      <w:proofErr w:type="spellStart"/>
      <w:r w:rsidRPr="000D4CD7">
        <w:rPr>
          <w:u w:val="none"/>
          <w:lang w:val="pt-BR"/>
        </w:rPr>
        <w:t>Convener</w:t>
      </w:r>
      <w:proofErr w:type="spellEnd"/>
      <w:r w:rsidRPr="000D4CD7">
        <w:rPr>
          <w:u w:val="none"/>
          <w:lang w:val="pt-BR"/>
        </w:rPr>
        <w:t xml:space="preserve">: </w:t>
      </w:r>
      <w:proofErr w:type="spellStart"/>
      <w:r w:rsidRPr="000D4CD7">
        <w:rPr>
          <w:u w:val="none"/>
          <w:lang w:val="pt-BR"/>
        </w:rPr>
        <w:t>Frédéric</w:t>
      </w:r>
      <w:proofErr w:type="spellEnd"/>
      <w:r w:rsidRPr="000D4CD7">
        <w:rPr>
          <w:u w:val="none"/>
          <w:lang w:val="pt-BR"/>
        </w:rPr>
        <w:t xml:space="preserve"> Vandenberghe</w:t>
      </w:r>
      <w:r w:rsidR="000D4CD7" w:rsidRPr="000D4CD7">
        <w:rPr>
          <w:u w:val="none"/>
          <w:lang w:val="pt-BR"/>
        </w:rPr>
        <w:t xml:space="preserve"> (IESP/UERJ, Rio de Janeiro).</w:t>
      </w:r>
    </w:p>
    <w:p w:rsidR="00D35F7B" w:rsidRPr="00882E72" w:rsidRDefault="00882E72" w:rsidP="00D35F7B">
      <w:pPr>
        <w:rPr>
          <w:lang w:val="fr-FR"/>
        </w:rPr>
      </w:pPr>
      <w:r w:rsidRPr="00882E72">
        <w:rPr>
          <w:lang w:val="fr-FR"/>
        </w:rPr>
        <w:t>Université Catholique de Louvain</w:t>
      </w:r>
    </w:p>
    <w:p w:rsidR="00882E72" w:rsidRPr="00882E72" w:rsidRDefault="00882E72" w:rsidP="00D35F7B">
      <w:pPr>
        <w:rPr>
          <w:lang w:val="fr-FR"/>
        </w:rPr>
      </w:pPr>
      <w:r w:rsidRPr="00882E72">
        <w:rPr>
          <w:lang w:val="fr-FR"/>
        </w:rPr>
        <w:t>Département de Sociologie</w:t>
      </w:r>
    </w:p>
    <w:p w:rsidR="00882E72" w:rsidRPr="00882E72" w:rsidRDefault="00FB2F79" w:rsidP="00D35F7B">
      <w:pPr>
        <w:rPr>
          <w:lang w:val="fr-FR"/>
        </w:rPr>
      </w:pPr>
      <w:r>
        <w:rPr>
          <w:lang w:val="fr-FR"/>
        </w:rPr>
        <w:t xml:space="preserve">Conférences Jacques Leclercq, </w:t>
      </w:r>
      <w:proofErr w:type="spellStart"/>
      <w:r>
        <w:rPr>
          <w:lang w:val="fr-FR"/>
        </w:rPr>
        <w:t>October</w:t>
      </w:r>
      <w:proofErr w:type="spellEnd"/>
      <w:r>
        <w:rPr>
          <w:lang w:val="fr-FR"/>
        </w:rPr>
        <w:t xml:space="preserve"> </w:t>
      </w:r>
      <w:r w:rsidR="00882E72">
        <w:rPr>
          <w:lang w:val="fr-FR"/>
        </w:rPr>
        <w:t>2011</w:t>
      </w:r>
    </w:p>
    <w:p w:rsidR="00882E72" w:rsidRDefault="00882E72" w:rsidP="00D35F7B">
      <w:pPr>
        <w:pStyle w:val="Ttulo3"/>
      </w:pPr>
    </w:p>
    <w:p w:rsidR="00D35F7B" w:rsidRDefault="00D35F7B" w:rsidP="00D35F7B">
      <w:pPr>
        <w:pStyle w:val="Ttulo3"/>
      </w:pPr>
      <w:r>
        <w:t xml:space="preserve">Description </w:t>
      </w:r>
    </w:p>
    <w:p w:rsidR="00D35F7B" w:rsidRDefault="00D35F7B" w:rsidP="00D35F7B">
      <w:pPr>
        <w:widowControl w:val="0"/>
        <w:autoSpaceDE w:val="0"/>
        <w:autoSpaceDN w:val="0"/>
        <w:adjustRightInd w:val="0"/>
        <w:jc w:val="both"/>
      </w:pPr>
    </w:p>
    <w:p w:rsidR="00470DFC" w:rsidRDefault="007C01E8" w:rsidP="00D35F7B">
      <w:pPr>
        <w:widowControl w:val="0"/>
        <w:autoSpaceDE w:val="0"/>
        <w:autoSpaceDN w:val="0"/>
        <w:adjustRightInd w:val="0"/>
        <w:jc w:val="both"/>
      </w:pPr>
      <w:r>
        <w:t>This</w:t>
      </w:r>
      <w:r w:rsidR="00D6058F">
        <w:t xml:space="preserve"> </w:t>
      </w:r>
      <w:r w:rsidR="00D35F7B">
        <w:t>course</w:t>
      </w:r>
      <w:r w:rsidR="000D4CD7">
        <w:t xml:space="preserve"> aims to present and discuss some</w:t>
      </w:r>
      <w:r w:rsidR="00D35F7B">
        <w:t xml:space="preserve"> new</w:t>
      </w:r>
      <w:r w:rsidR="00A23E8E">
        <w:t xml:space="preserve"> </w:t>
      </w:r>
      <w:r>
        <w:t>developments</w:t>
      </w:r>
      <w:r w:rsidR="00A23E8E">
        <w:t xml:space="preserve"> </w:t>
      </w:r>
      <w:r>
        <w:t xml:space="preserve">in the </w:t>
      </w:r>
      <w:r w:rsidR="002845BB">
        <w:t>theory of action</w:t>
      </w:r>
      <w:r w:rsidR="00A23E8E">
        <w:t xml:space="preserve"> at the cutting edge of social theory</w:t>
      </w:r>
      <w:r>
        <w:t>.</w:t>
      </w:r>
      <w:r w:rsidR="00680B2B">
        <w:t xml:space="preserve"> In order to situate the current preoccupation with action, t</w:t>
      </w:r>
      <w:r w:rsidR="00787BCD">
        <w:t>he cours</w:t>
      </w:r>
      <w:r w:rsidR="00470DFC">
        <w:t xml:space="preserve">e will open with a return to the new theoretical movement of the 1980´s </w:t>
      </w:r>
      <w:r w:rsidR="00AD7740">
        <w:t>(</w:t>
      </w:r>
      <w:proofErr w:type="spellStart"/>
      <w:r w:rsidR="00AD7740">
        <w:t>Bourdie</w:t>
      </w:r>
      <w:r w:rsidR="00B36CFF">
        <w:t>u</w:t>
      </w:r>
      <w:proofErr w:type="spellEnd"/>
      <w:r w:rsidR="00B36CFF">
        <w:t xml:space="preserve">, </w:t>
      </w:r>
      <w:proofErr w:type="spellStart"/>
      <w:r w:rsidR="00B36CFF">
        <w:t>Giddens</w:t>
      </w:r>
      <w:proofErr w:type="spellEnd"/>
      <w:r w:rsidR="00B36CFF">
        <w:t xml:space="preserve"> and </w:t>
      </w:r>
      <w:proofErr w:type="spellStart"/>
      <w:r w:rsidR="00B36CFF">
        <w:t>Habermas</w:t>
      </w:r>
      <w:proofErr w:type="spellEnd"/>
      <w:r w:rsidR="00687542">
        <w:t>)</w:t>
      </w:r>
      <w:r w:rsidR="00A23E8E">
        <w:t>. Against the background, the course will then proceed to a s</w:t>
      </w:r>
      <w:r>
        <w:t xml:space="preserve">ystematic reconstruction of </w:t>
      </w:r>
      <w:r w:rsidR="00EF2C1C">
        <w:t xml:space="preserve">the </w:t>
      </w:r>
      <w:r>
        <w:t xml:space="preserve">pragmatic sociology </w:t>
      </w:r>
      <w:r w:rsidR="00EF2C1C">
        <w:t xml:space="preserve">of critique </w:t>
      </w:r>
      <w:r>
        <w:t>(</w:t>
      </w:r>
      <w:proofErr w:type="spellStart"/>
      <w:r>
        <w:t>Boltanski</w:t>
      </w:r>
      <w:proofErr w:type="spellEnd"/>
      <w:r w:rsidR="002845BB">
        <w:t xml:space="preserve"> and </w:t>
      </w:r>
      <w:proofErr w:type="spellStart"/>
      <w:r w:rsidR="002845BB">
        <w:t>Thévenot</w:t>
      </w:r>
      <w:proofErr w:type="spellEnd"/>
      <w:r>
        <w:t xml:space="preserve">), </w:t>
      </w:r>
      <w:r w:rsidR="00EF2C1C">
        <w:t xml:space="preserve">dispositional </w:t>
      </w:r>
      <w:r>
        <w:t xml:space="preserve">sociological psychology (Lahire), </w:t>
      </w:r>
      <w:r w:rsidR="00EF2C1C">
        <w:t xml:space="preserve">the transformational model </w:t>
      </w:r>
      <w:r w:rsidR="00882E72">
        <w:t>of social action (Bhask</w:t>
      </w:r>
      <w:r w:rsidR="007F3A74">
        <w:t xml:space="preserve">ar), </w:t>
      </w:r>
      <w:r w:rsidR="002845BB">
        <w:t>the sociology</w:t>
      </w:r>
      <w:r w:rsidR="00EF2C1C">
        <w:t xml:space="preserve"> of internal conversations (Archer), the theory of interaction ritual chains (Collins), the anti-utilitarian paradigm of the gift (</w:t>
      </w:r>
      <w:proofErr w:type="spellStart"/>
      <w:r w:rsidR="00EF2C1C">
        <w:t>Caillé</w:t>
      </w:r>
      <w:proofErr w:type="spellEnd"/>
      <w:r w:rsidR="00EF2C1C">
        <w:t>), the sociology of experience (</w:t>
      </w:r>
      <w:proofErr w:type="spellStart"/>
      <w:r w:rsidR="00EF2C1C">
        <w:t>Dubet</w:t>
      </w:r>
      <w:proofErr w:type="spellEnd"/>
      <w:r w:rsidR="00EF2C1C">
        <w:t xml:space="preserve">) and </w:t>
      </w:r>
      <w:r w:rsidR="00882E72">
        <w:t xml:space="preserve">the </w:t>
      </w:r>
      <w:r w:rsidR="00EF2C1C">
        <w:t xml:space="preserve">dialectical sociology of the Montreal School (Freitag). </w:t>
      </w:r>
      <w:r w:rsidR="002845BB">
        <w:t>The theories will not be analyzed in isolation. Rather it is hoped that through dialogue and comparison</w:t>
      </w:r>
      <w:r w:rsidR="00BE5174">
        <w:t xml:space="preserve"> some of th</w:t>
      </w:r>
      <w:r w:rsidR="00882E72">
        <w:t>eir limitations will be uncovered</w:t>
      </w:r>
      <w:r w:rsidR="00BE5174">
        <w:t xml:space="preserve"> and</w:t>
      </w:r>
      <w:r w:rsidR="002845BB">
        <w:t xml:space="preserve"> a common framework for a </w:t>
      </w:r>
      <w:r w:rsidR="00BE5174">
        <w:t xml:space="preserve">complex </w:t>
      </w:r>
      <w:r w:rsidR="002845BB">
        <w:t>social theory of action</w:t>
      </w:r>
      <w:r w:rsidR="00BE5174">
        <w:t xml:space="preserve"> will eventually emerge</w:t>
      </w:r>
      <w:r w:rsidR="00EF2C1C">
        <w:t xml:space="preserve">. </w:t>
      </w:r>
    </w:p>
    <w:p w:rsidR="00AD7740" w:rsidRDefault="00AD7740" w:rsidP="00D35F7B">
      <w:pPr>
        <w:widowControl w:val="0"/>
        <w:autoSpaceDE w:val="0"/>
        <w:autoSpaceDN w:val="0"/>
        <w:adjustRightInd w:val="0"/>
      </w:pPr>
    </w:p>
    <w:p w:rsidR="00D35F7B" w:rsidRDefault="00D35F7B" w:rsidP="00D35F7B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Requirements</w:t>
      </w:r>
    </w:p>
    <w:p w:rsidR="00D35F7B" w:rsidRDefault="00D35F7B" w:rsidP="00D35F7B">
      <w:pPr>
        <w:widowControl w:val="0"/>
        <w:autoSpaceDE w:val="0"/>
        <w:autoSpaceDN w:val="0"/>
        <w:adjustRightInd w:val="0"/>
      </w:pPr>
    </w:p>
    <w:p w:rsidR="002845BB" w:rsidRDefault="002845BB" w:rsidP="00D35F7B">
      <w:pPr>
        <w:widowControl w:val="0"/>
        <w:autoSpaceDE w:val="0"/>
        <w:autoSpaceDN w:val="0"/>
        <w:adjustRightInd w:val="0"/>
        <w:jc w:val="both"/>
      </w:pPr>
      <w:r>
        <w:t xml:space="preserve">Reading: </w:t>
      </w:r>
      <w:r w:rsidR="00EF2C1C">
        <w:t xml:space="preserve">This an advanced </w:t>
      </w:r>
      <w:r w:rsidR="00EF2C1C" w:rsidRPr="002845BB">
        <w:rPr>
          <w:i/>
        </w:rPr>
        <w:t>intensive</w:t>
      </w:r>
      <w:r w:rsidR="00EF2C1C">
        <w:t xml:space="preserve"> course with lots of reading materials</w:t>
      </w:r>
      <w:r w:rsidR="007F3A74">
        <w:t xml:space="preserve"> (100 pages </w:t>
      </w:r>
      <w:r>
        <w:t>on average per day</w:t>
      </w:r>
      <w:r w:rsidR="007F3A74">
        <w:t>)</w:t>
      </w:r>
      <w:r w:rsidR="00EF2C1C">
        <w:t xml:space="preserve">. Students who want to take this course are strongly advised to reserve the whole week for studying purposes. </w:t>
      </w:r>
    </w:p>
    <w:p w:rsidR="002845BB" w:rsidRDefault="002845BB" w:rsidP="00D35F7B">
      <w:pPr>
        <w:widowControl w:val="0"/>
        <w:autoSpaceDE w:val="0"/>
        <w:autoSpaceDN w:val="0"/>
        <w:adjustRightInd w:val="0"/>
        <w:jc w:val="both"/>
      </w:pPr>
    </w:p>
    <w:p w:rsidR="00D35F7B" w:rsidRDefault="002845BB" w:rsidP="00D35F7B">
      <w:pPr>
        <w:widowControl w:val="0"/>
        <w:autoSpaceDE w:val="0"/>
        <w:autoSpaceDN w:val="0"/>
        <w:adjustRightInd w:val="0"/>
        <w:jc w:val="both"/>
      </w:pPr>
      <w:r>
        <w:t xml:space="preserve">Participation: </w:t>
      </w:r>
      <w:r w:rsidR="007F3A74">
        <w:t>Students are asked to</w:t>
      </w:r>
      <w:r w:rsidR="00EF2C1C">
        <w:t xml:space="preserve"> </w:t>
      </w:r>
      <w:r w:rsidR="00D35F7B">
        <w:t>present the reading materi</w:t>
      </w:r>
      <w:r w:rsidR="007F3A74">
        <w:t>als and initiate the discussion</w:t>
      </w:r>
      <w:r w:rsidR="00D35F7B">
        <w:t>.</w:t>
      </w:r>
    </w:p>
    <w:p w:rsidR="002845BB" w:rsidRDefault="002845BB" w:rsidP="00B93368">
      <w:pPr>
        <w:widowControl w:val="0"/>
        <w:autoSpaceDE w:val="0"/>
        <w:autoSpaceDN w:val="0"/>
        <w:adjustRightInd w:val="0"/>
        <w:jc w:val="both"/>
      </w:pPr>
    </w:p>
    <w:p w:rsidR="00D35F7B" w:rsidRDefault="00D35F7B" w:rsidP="00B93368">
      <w:pPr>
        <w:widowControl w:val="0"/>
        <w:autoSpaceDE w:val="0"/>
        <w:autoSpaceDN w:val="0"/>
        <w:adjustRightInd w:val="0"/>
        <w:jc w:val="both"/>
      </w:pPr>
      <w:r>
        <w:t xml:space="preserve">Essay: Students have to write an essay of 10 to 30 pages on theories </w:t>
      </w:r>
      <w:r w:rsidR="00680B2B">
        <w:t xml:space="preserve">of action </w:t>
      </w:r>
      <w:r>
        <w:t xml:space="preserve">covered in the syllabus, theories not covered in the syllabus, or relate their own research to any of those theories.    </w:t>
      </w:r>
    </w:p>
    <w:p w:rsidR="00D35F7B" w:rsidRDefault="00D35F7B" w:rsidP="009E37D1">
      <w:pPr>
        <w:pStyle w:val="Ttulo1"/>
        <w:jc w:val="left"/>
      </w:pPr>
    </w:p>
    <w:p w:rsidR="00D35F7B" w:rsidRDefault="00D35F7B" w:rsidP="00D35F7B">
      <w:pPr>
        <w:pStyle w:val="Ttulo1"/>
      </w:pPr>
      <w:r>
        <w:t>Syllabus</w:t>
      </w:r>
    </w:p>
    <w:p w:rsidR="00D35F7B" w:rsidRDefault="00D35F7B" w:rsidP="00D35F7B">
      <w:pPr>
        <w:widowControl w:val="0"/>
        <w:autoSpaceDE w:val="0"/>
        <w:autoSpaceDN w:val="0"/>
        <w:adjustRightInd w:val="0"/>
        <w:rPr>
          <w:b/>
          <w:bCs/>
        </w:rPr>
      </w:pPr>
    </w:p>
    <w:p w:rsidR="00D35F7B" w:rsidRPr="00D35F7B" w:rsidRDefault="00D35F7B" w:rsidP="00D35F7B">
      <w:pPr>
        <w:widowControl w:val="0"/>
        <w:autoSpaceDE w:val="0"/>
        <w:autoSpaceDN w:val="0"/>
        <w:adjustRightInd w:val="0"/>
        <w:rPr>
          <w:b/>
          <w:bCs/>
        </w:rPr>
      </w:pPr>
      <w:r w:rsidRPr="00D35F7B">
        <w:rPr>
          <w:b/>
          <w:bCs/>
        </w:rPr>
        <w:t xml:space="preserve">Day 1: </w:t>
      </w:r>
      <w:r w:rsidRPr="00D35F7B">
        <w:rPr>
          <w:b/>
        </w:rPr>
        <w:t>The New Theoretical Movement: Twenty Years Later</w:t>
      </w:r>
    </w:p>
    <w:p w:rsidR="00D35F7B" w:rsidRDefault="00D35F7B" w:rsidP="00D35F7B"/>
    <w:p w:rsidR="00D35F7B" w:rsidRPr="00882E72" w:rsidRDefault="00DF7638" w:rsidP="00D35F7B">
      <w:pPr>
        <w:widowControl w:val="0"/>
        <w:autoSpaceDE w:val="0"/>
        <w:autoSpaceDN w:val="0"/>
        <w:adjustRightInd w:val="0"/>
        <w:rPr>
          <w:lang w:val="fr-FR"/>
        </w:rPr>
      </w:pPr>
      <w:r>
        <w:t xml:space="preserve">Alexander, J. (1988): </w:t>
      </w:r>
      <w:r w:rsidRPr="00DF7638">
        <w:rPr>
          <w:bCs/>
        </w:rPr>
        <w:t>“</w:t>
      </w:r>
      <w:r w:rsidR="00D35F7B">
        <w:t xml:space="preserve">The New Theoretical </w:t>
      </w:r>
      <w:r>
        <w:t>Movement”</w:t>
      </w:r>
      <w:r w:rsidR="009E37D1">
        <w:t>,</w:t>
      </w:r>
      <w:r w:rsidR="00D35F7B">
        <w:t xml:space="preserve"> pp. 77-101 in Neil </w:t>
      </w:r>
      <w:proofErr w:type="spellStart"/>
      <w:r w:rsidR="00D35F7B">
        <w:t>Smelser</w:t>
      </w:r>
      <w:proofErr w:type="spellEnd"/>
      <w:r w:rsidR="00D35F7B">
        <w:t xml:space="preserve"> (ed.): </w:t>
      </w:r>
      <w:r w:rsidR="00D35F7B">
        <w:rPr>
          <w:i/>
          <w:iCs/>
        </w:rPr>
        <w:t>Handbook of Sociology</w:t>
      </w:r>
      <w:r w:rsidR="00D35F7B">
        <w:t xml:space="preserve">. </w:t>
      </w:r>
      <w:r w:rsidR="00D35F7B" w:rsidRPr="00882E72">
        <w:rPr>
          <w:lang w:val="fr-FR"/>
        </w:rPr>
        <w:t>London: Sage.</w:t>
      </w:r>
    </w:p>
    <w:p w:rsidR="00EE4AC7" w:rsidRPr="00882E72" w:rsidRDefault="00EE4AC7" w:rsidP="00AD774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0E2C">
        <w:rPr>
          <w:bCs/>
          <w:lang w:val="fr-FR"/>
        </w:rPr>
        <w:t>Bourdieu, P.</w:t>
      </w:r>
      <w:r w:rsidR="00680B2B">
        <w:rPr>
          <w:bCs/>
          <w:lang w:val="fr-FR"/>
        </w:rPr>
        <w:t xml:space="preserve"> (1980)</w:t>
      </w:r>
      <w:r w:rsidRPr="00360E2C">
        <w:rPr>
          <w:bCs/>
          <w:lang w:val="fr-FR"/>
        </w:rPr>
        <w:t>:</w:t>
      </w:r>
      <w:r w:rsidR="00360E2C" w:rsidRPr="00360E2C">
        <w:rPr>
          <w:bCs/>
          <w:lang w:val="fr-FR"/>
        </w:rPr>
        <w:t xml:space="preserve"> “Structures, habitus, pratiques”, pp. </w:t>
      </w:r>
      <w:r w:rsidR="00360E2C">
        <w:rPr>
          <w:bCs/>
          <w:lang w:val="fr-FR"/>
        </w:rPr>
        <w:t xml:space="preserve">87-110 in </w:t>
      </w:r>
      <w:r w:rsidR="00360E2C" w:rsidRPr="00360E2C">
        <w:rPr>
          <w:bCs/>
          <w:i/>
          <w:lang w:val="fr-FR"/>
        </w:rPr>
        <w:t>Le sens pratique</w:t>
      </w:r>
      <w:r w:rsidR="00360E2C">
        <w:rPr>
          <w:bCs/>
          <w:lang w:val="fr-FR"/>
        </w:rPr>
        <w:t xml:space="preserve">. </w:t>
      </w:r>
      <w:proofErr w:type="gramStart"/>
      <w:r w:rsidR="00360E2C" w:rsidRPr="00882E72">
        <w:rPr>
          <w:bCs/>
        </w:rPr>
        <w:t>Paris :</w:t>
      </w:r>
      <w:proofErr w:type="gramEnd"/>
      <w:r w:rsidR="00360E2C" w:rsidRPr="00882E72">
        <w:rPr>
          <w:bCs/>
        </w:rPr>
        <w:t xml:space="preserve"> Minuit.</w:t>
      </w:r>
    </w:p>
    <w:p w:rsidR="00AD7740" w:rsidRDefault="00EE4AC7" w:rsidP="00AD7740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>
        <w:t>Giddens</w:t>
      </w:r>
      <w:proofErr w:type="spellEnd"/>
      <w:r>
        <w:t>, A.</w:t>
      </w:r>
      <w:r w:rsidR="00680B2B">
        <w:t xml:space="preserve"> (1982)</w:t>
      </w:r>
      <w:r>
        <w:t xml:space="preserve">: </w:t>
      </w:r>
      <w:r w:rsidR="00360E2C">
        <w:t>“Hermeneutics and Social Theory”</w:t>
      </w:r>
      <w:r w:rsidR="00A23E8E">
        <w:t>, pp. 1-17</w:t>
      </w:r>
      <w:r w:rsidR="00360E2C">
        <w:t xml:space="preserve"> and “Action, Structure, Power”</w:t>
      </w:r>
      <w:r w:rsidR="00A23E8E">
        <w:t xml:space="preserve">, pp. </w:t>
      </w:r>
      <w:r w:rsidR="00360E2C">
        <w:t xml:space="preserve">28-39 in </w:t>
      </w:r>
      <w:r w:rsidR="00360E2C" w:rsidRPr="00360E2C">
        <w:rPr>
          <w:i/>
        </w:rPr>
        <w:t>Profiles and Critiques in Social Theory</w:t>
      </w:r>
      <w:r w:rsidR="00360E2C">
        <w:t>. London: Macmillan.</w:t>
      </w:r>
    </w:p>
    <w:p w:rsidR="00B36CFF" w:rsidRDefault="00AD7740" w:rsidP="00B36CFF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C33E2E">
        <w:t>Habermas</w:t>
      </w:r>
      <w:proofErr w:type="spellEnd"/>
      <w:r w:rsidRPr="00C33E2E">
        <w:t>, J.</w:t>
      </w:r>
      <w:r w:rsidR="00680B2B">
        <w:t xml:space="preserve"> (1985)</w:t>
      </w:r>
      <w:r w:rsidRPr="00C33E2E">
        <w:t>:</w:t>
      </w:r>
      <w:r>
        <w:t xml:space="preserve"> “Remarks on the Concept of Communicative Action”, in </w:t>
      </w:r>
      <w:proofErr w:type="spellStart"/>
      <w:r>
        <w:t>Seebass</w:t>
      </w:r>
      <w:proofErr w:type="spellEnd"/>
      <w:r>
        <w:t xml:space="preserve">, G. e </w:t>
      </w:r>
      <w:proofErr w:type="spellStart"/>
      <w:r>
        <w:t>Tuomela</w:t>
      </w:r>
      <w:proofErr w:type="spellEnd"/>
      <w:r>
        <w:t xml:space="preserve">, R. (eds.): </w:t>
      </w:r>
      <w:r w:rsidRPr="00C33E2E">
        <w:rPr>
          <w:i/>
        </w:rPr>
        <w:t>Social Action</w:t>
      </w:r>
      <w:r>
        <w:t>, pp. 151-177.</w:t>
      </w:r>
      <w:r w:rsidR="00B36CFF" w:rsidRPr="00B36CFF">
        <w:rPr>
          <w:bCs/>
        </w:rPr>
        <w:t xml:space="preserve"> </w:t>
      </w:r>
      <w:r w:rsidR="00680B2B">
        <w:rPr>
          <w:bCs/>
        </w:rPr>
        <w:t xml:space="preserve"> </w:t>
      </w:r>
      <w:r w:rsidR="00DF7638">
        <w:rPr>
          <w:bCs/>
        </w:rPr>
        <w:t xml:space="preserve">Boston; D. </w:t>
      </w:r>
      <w:proofErr w:type="spellStart"/>
      <w:r w:rsidR="00DF7638">
        <w:rPr>
          <w:bCs/>
        </w:rPr>
        <w:t>Reidel</w:t>
      </w:r>
      <w:proofErr w:type="spellEnd"/>
      <w:r w:rsidR="00DF7638">
        <w:rPr>
          <w:bCs/>
        </w:rPr>
        <w:t>.</w:t>
      </w:r>
    </w:p>
    <w:p w:rsidR="00AD7740" w:rsidRPr="00B36CFF" w:rsidRDefault="00B36CFF" w:rsidP="00B36CFF">
      <w:pPr>
        <w:widowControl w:val="0"/>
        <w:tabs>
          <w:tab w:val="left" w:pos="2829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ab/>
      </w:r>
    </w:p>
    <w:p w:rsidR="00B36CFF" w:rsidRDefault="00B36CFF" w:rsidP="00D35F7B">
      <w:pPr>
        <w:widowControl w:val="0"/>
        <w:autoSpaceDE w:val="0"/>
        <w:autoSpaceDN w:val="0"/>
        <w:adjustRightInd w:val="0"/>
        <w:rPr>
          <w:b/>
          <w:bCs/>
        </w:rPr>
      </w:pPr>
    </w:p>
    <w:p w:rsidR="00D35F7B" w:rsidRPr="00680B2B" w:rsidRDefault="00D35F7B" w:rsidP="00D35F7B">
      <w:pPr>
        <w:widowControl w:val="0"/>
        <w:autoSpaceDE w:val="0"/>
        <w:autoSpaceDN w:val="0"/>
        <w:adjustRightInd w:val="0"/>
        <w:rPr>
          <w:b/>
          <w:bCs/>
        </w:rPr>
      </w:pPr>
      <w:r w:rsidRPr="00680B2B">
        <w:rPr>
          <w:b/>
          <w:bCs/>
        </w:rPr>
        <w:t>Day 2:</w:t>
      </w:r>
      <w:r w:rsidR="001566D6" w:rsidRPr="00680B2B">
        <w:rPr>
          <w:b/>
          <w:bCs/>
        </w:rPr>
        <w:t xml:space="preserve"> </w:t>
      </w:r>
      <w:r w:rsidR="00DF7638" w:rsidRPr="00680B2B">
        <w:rPr>
          <w:b/>
          <w:bCs/>
        </w:rPr>
        <w:t>Dispositions and Situations of Action</w:t>
      </w:r>
    </w:p>
    <w:p w:rsidR="002845BB" w:rsidRDefault="002845BB" w:rsidP="002845BB">
      <w:pPr>
        <w:widowControl w:val="0"/>
        <w:autoSpaceDE w:val="0"/>
        <w:autoSpaceDN w:val="0"/>
        <w:adjustRightInd w:val="0"/>
        <w:jc w:val="both"/>
      </w:pPr>
    </w:p>
    <w:p w:rsidR="002845BB" w:rsidRDefault="002845BB" w:rsidP="002845BB">
      <w:pPr>
        <w:widowControl w:val="0"/>
        <w:autoSpaceDE w:val="0"/>
        <w:autoSpaceDN w:val="0"/>
        <w:adjustRightInd w:val="0"/>
        <w:jc w:val="both"/>
      </w:pPr>
      <w:proofErr w:type="spellStart"/>
      <w:r w:rsidRPr="00AA270B">
        <w:t>Boltanski</w:t>
      </w:r>
      <w:proofErr w:type="spellEnd"/>
      <w:r w:rsidRPr="00AA270B">
        <w:t xml:space="preserve">, L. and </w:t>
      </w:r>
      <w:proofErr w:type="spellStart"/>
      <w:r w:rsidRPr="00AA270B">
        <w:t>Thévenot</w:t>
      </w:r>
      <w:proofErr w:type="spellEnd"/>
      <w:r w:rsidRPr="00AA270B">
        <w:t xml:space="preserve">, L. (1999): “The Sociology of Critical Capacity”, </w:t>
      </w:r>
      <w:r w:rsidRPr="00AA270B">
        <w:rPr>
          <w:i/>
          <w:iCs/>
        </w:rPr>
        <w:t>European Journal of Social Theory</w:t>
      </w:r>
      <w:r w:rsidRPr="00AA270B">
        <w:t>, 2, 3, pp. 359-377.</w:t>
      </w:r>
    </w:p>
    <w:p w:rsidR="002845BB" w:rsidRPr="00AA270B" w:rsidRDefault="002845BB" w:rsidP="002845BB">
      <w:pPr>
        <w:widowControl w:val="0"/>
        <w:autoSpaceDE w:val="0"/>
        <w:autoSpaceDN w:val="0"/>
        <w:adjustRightInd w:val="0"/>
        <w:jc w:val="both"/>
      </w:pPr>
    </w:p>
    <w:p w:rsidR="007F3A74" w:rsidRDefault="007F3A74" w:rsidP="00787BCD">
      <w:pPr>
        <w:rPr>
          <w:lang w:val="fr-FR"/>
        </w:rPr>
      </w:pPr>
      <w:r>
        <w:rPr>
          <w:lang w:val="fr-FR"/>
        </w:rPr>
        <w:t xml:space="preserve">Thévenot, L. (2006) : </w:t>
      </w:r>
      <w:r w:rsidR="00545ECA" w:rsidRPr="00AA270B">
        <w:t>“</w:t>
      </w:r>
      <w:r w:rsidR="00545ECA">
        <w:rPr>
          <w:lang w:val="fr-FR"/>
        </w:rPr>
        <w:t>Introduction</w:t>
      </w:r>
      <w:r w:rsidR="00545ECA" w:rsidRPr="00DF7638">
        <w:rPr>
          <w:lang w:val="fr-FR"/>
        </w:rPr>
        <w:t>”</w:t>
      </w:r>
      <w:r w:rsidR="00545ECA">
        <w:rPr>
          <w:lang w:val="fr-FR"/>
        </w:rPr>
        <w:t>, pp. 5-21 et </w:t>
      </w:r>
      <w:r w:rsidR="002845BB" w:rsidRPr="002845BB">
        <w:rPr>
          <w:lang w:val="fr-FR"/>
        </w:rPr>
        <w:t>“</w:t>
      </w:r>
      <w:r w:rsidR="00545ECA">
        <w:rPr>
          <w:lang w:val="fr-FR"/>
        </w:rPr>
        <w:t>Les régimes d’une action qui convient : du familier au public</w:t>
      </w:r>
      <w:r w:rsidR="00545ECA" w:rsidRPr="00DF7638">
        <w:rPr>
          <w:lang w:val="fr-FR"/>
        </w:rPr>
        <w:t>”</w:t>
      </w:r>
      <w:r w:rsidR="00545ECA">
        <w:rPr>
          <w:lang w:val="fr-FR"/>
        </w:rPr>
        <w:t xml:space="preserve">, pp. pp. 93-110 </w:t>
      </w:r>
      <w:r w:rsidRPr="00545ECA">
        <w:rPr>
          <w:lang w:val="fr-FR"/>
        </w:rPr>
        <w:t xml:space="preserve">in </w:t>
      </w:r>
      <w:r w:rsidRPr="00545ECA">
        <w:rPr>
          <w:i/>
          <w:lang w:val="fr-FR"/>
        </w:rPr>
        <w:t>L´action au pluriel. Sociologie des régimes d´engagement</w:t>
      </w:r>
      <w:r>
        <w:rPr>
          <w:lang w:val="fr-FR"/>
        </w:rPr>
        <w:t>. Paris : La Découverte.</w:t>
      </w:r>
    </w:p>
    <w:p w:rsidR="002845BB" w:rsidRDefault="002845BB" w:rsidP="00787BCD">
      <w:pPr>
        <w:rPr>
          <w:lang w:val="fr-FR"/>
        </w:rPr>
      </w:pPr>
    </w:p>
    <w:p w:rsidR="006539F5" w:rsidRPr="00882E72" w:rsidRDefault="009E37D1" w:rsidP="00687542">
      <w:r w:rsidRPr="007F3A74">
        <w:rPr>
          <w:lang w:val="fr-FR"/>
        </w:rPr>
        <w:t>Lahire, B.</w:t>
      </w:r>
      <w:r w:rsidR="00680B2B" w:rsidRPr="007F3A74">
        <w:rPr>
          <w:lang w:val="fr-FR"/>
        </w:rPr>
        <w:t xml:space="preserve"> </w:t>
      </w:r>
      <w:r w:rsidR="00787BCD" w:rsidRPr="007F3A74">
        <w:rPr>
          <w:lang w:val="fr-FR"/>
        </w:rPr>
        <w:t>(1999)</w:t>
      </w:r>
      <w:r w:rsidRPr="007F3A74">
        <w:rPr>
          <w:lang w:val="fr-FR"/>
        </w:rPr>
        <w:t xml:space="preserve">: </w:t>
      </w:r>
      <w:r w:rsidR="00DF7638" w:rsidRPr="007F3A74">
        <w:rPr>
          <w:lang w:val="fr-FR"/>
        </w:rPr>
        <w:t>“</w:t>
      </w:r>
      <w:r w:rsidR="007F3A74" w:rsidRPr="007F3A74">
        <w:rPr>
          <w:rStyle w:val="nfase"/>
          <w:b w:val="0"/>
          <w:lang w:val="fr-FR"/>
        </w:rPr>
        <w:t>Esquisse</w:t>
      </w:r>
      <w:r w:rsidR="007F3A74" w:rsidRPr="007F3A74">
        <w:rPr>
          <w:b/>
          <w:lang w:val="fr-FR"/>
        </w:rPr>
        <w:t xml:space="preserve"> </w:t>
      </w:r>
      <w:r w:rsidR="007F3A74" w:rsidRPr="007F3A74">
        <w:rPr>
          <w:lang w:val="fr-FR"/>
        </w:rPr>
        <w:t>du programme scientifique d</w:t>
      </w:r>
      <w:r w:rsidR="007F3A74">
        <w:rPr>
          <w:lang w:val="fr-FR"/>
        </w:rPr>
        <w:t>'une sociologie psychologique</w:t>
      </w:r>
      <w:r w:rsidR="007F3A74" w:rsidRPr="00DF7638">
        <w:rPr>
          <w:lang w:val="fr-FR"/>
        </w:rPr>
        <w:t>”</w:t>
      </w:r>
      <w:r w:rsidR="007F3A74">
        <w:rPr>
          <w:lang w:val="fr-FR"/>
        </w:rPr>
        <w:t>,</w:t>
      </w:r>
      <w:r w:rsidR="007F3A74" w:rsidRPr="007F3A74">
        <w:rPr>
          <w:lang w:val="fr-FR"/>
        </w:rPr>
        <w:t xml:space="preserve"> </w:t>
      </w:r>
      <w:r w:rsidR="007F3A74" w:rsidRPr="007F3A74">
        <w:rPr>
          <w:i/>
          <w:lang w:val="fr-FR"/>
        </w:rPr>
        <w:t>Cahiers internationaux de sociologie</w:t>
      </w:r>
      <w:r w:rsidR="007F3A74" w:rsidRPr="007F3A74">
        <w:rPr>
          <w:lang w:val="fr-FR"/>
        </w:rPr>
        <w:t xml:space="preserve">, vol. </w:t>
      </w:r>
      <w:r w:rsidR="007F3A74" w:rsidRPr="00882E72">
        <w:t>CVI, pp. 29-59.</w:t>
      </w:r>
    </w:p>
    <w:p w:rsidR="006539F5" w:rsidRPr="00882E72" w:rsidRDefault="006539F5" w:rsidP="00D35F7B">
      <w:pPr>
        <w:widowControl w:val="0"/>
        <w:autoSpaceDE w:val="0"/>
        <w:autoSpaceDN w:val="0"/>
        <w:adjustRightInd w:val="0"/>
        <w:rPr>
          <w:b/>
          <w:bCs/>
        </w:rPr>
      </w:pPr>
    </w:p>
    <w:p w:rsidR="00B36CFF" w:rsidRPr="00882E72" w:rsidRDefault="008E5A53" w:rsidP="00D35F7B">
      <w:pPr>
        <w:widowControl w:val="0"/>
        <w:autoSpaceDE w:val="0"/>
        <w:autoSpaceDN w:val="0"/>
        <w:adjustRightInd w:val="0"/>
        <w:rPr>
          <w:b/>
          <w:bCs/>
        </w:rPr>
      </w:pPr>
      <w:r w:rsidRPr="00882E72">
        <w:rPr>
          <w:b/>
          <w:bCs/>
        </w:rPr>
        <w:t>Day 3</w:t>
      </w:r>
      <w:r w:rsidR="00687542" w:rsidRPr="00882E72">
        <w:rPr>
          <w:b/>
          <w:bCs/>
        </w:rPr>
        <w:t>:</w:t>
      </w:r>
      <w:r w:rsidR="00DF7638" w:rsidRPr="00882E72">
        <w:rPr>
          <w:b/>
          <w:bCs/>
        </w:rPr>
        <w:t xml:space="preserve"> Reflexivity and Agency</w:t>
      </w:r>
    </w:p>
    <w:p w:rsidR="00DF7638" w:rsidRPr="00882E72" w:rsidRDefault="00DF7638" w:rsidP="00BF195D">
      <w:pPr>
        <w:spacing w:line="276" w:lineRule="auto"/>
      </w:pPr>
    </w:p>
    <w:p w:rsidR="00BF195D" w:rsidRPr="0044089A" w:rsidRDefault="00680B2B" w:rsidP="00BF195D">
      <w:pPr>
        <w:spacing w:line="276" w:lineRule="auto"/>
      </w:pPr>
      <w:r>
        <w:t>Bhaskar, R.</w:t>
      </w:r>
      <w:r w:rsidR="00A23E8E">
        <w:t xml:space="preserve"> (1998)</w:t>
      </w:r>
      <w:r>
        <w:t xml:space="preserve">: </w:t>
      </w:r>
      <w:r w:rsidRPr="00680B2B">
        <w:rPr>
          <w:bCs/>
        </w:rPr>
        <w:t>“</w:t>
      </w:r>
      <w:r w:rsidR="00BF195D">
        <w:t xml:space="preserve">Societies’, </w:t>
      </w:r>
      <w:r w:rsidR="00DF7638">
        <w:t xml:space="preserve">pp. 206-233 </w:t>
      </w:r>
      <w:r w:rsidR="00BF195D">
        <w:t xml:space="preserve">in Archer, M. (ed.): </w:t>
      </w:r>
      <w:r w:rsidR="00BF195D" w:rsidRPr="00395820">
        <w:rPr>
          <w:i/>
        </w:rPr>
        <w:t>Critical Realism. Essential Readings</w:t>
      </w:r>
      <w:r w:rsidR="00BF195D" w:rsidRPr="0044089A">
        <w:rPr>
          <w:i/>
        </w:rPr>
        <w:t xml:space="preserve"> </w:t>
      </w:r>
    </w:p>
    <w:p w:rsidR="00BF195D" w:rsidRDefault="00BF195D" w:rsidP="00D35F7B">
      <w:pPr>
        <w:widowControl w:val="0"/>
        <w:autoSpaceDE w:val="0"/>
        <w:autoSpaceDN w:val="0"/>
        <w:adjustRightInd w:val="0"/>
      </w:pPr>
      <w:r>
        <w:t>Archer</w:t>
      </w:r>
      <w:r w:rsidR="00903D5A">
        <w:t>, M.</w:t>
      </w:r>
      <w:r w:rsidR="00A23E8E">
        <w:t xml:space="preserve"> (2003)</w:t>
      </w:r>
      <w:r w:rsidR="00DF7638">
        <w:t xml:space="preserve">: </w:t>
      </w:r>
      <w:r w:rsidR="002845BB">
        <w:t xml:space="preserve">“Introduction”, pp. 1-16 </w:t>
      </w:r>
      <w:r w:rsidR="00545ECA">
        <w:t xml:space="preserve">in </w:t>
      </w:r>
      <w:r w:rsidR="00DF7638" w:rsidRPr="00DF7638">
        <w:rPr>
          <w:i/>
        </w:rPr>
        <w:t>Structure, Agency and The Internal Conversation</w:t>
      </w:r>
      <w:r w:rsidR="00DF7638">
        <w:t xml:space="preserve">. Cambridge: Cambridge University Press. </w:t>
      </w:r>
    </w:p>
    <w:p w:rsidR="002845BB" w:rsidRDefault="002845BB" w:rsidP="002845BB">
      <w:pPr>
        <w:widowControl w:val="0"/>
        <w:autoSpaceDE w:val="0"/>
        <w:autoSpaceDN w:val="0"/>
        <w:adjustRightInd w:val="0"/>
      </w:pPr>
      <w:r>
        <w:t xml:space="preserve">Archer, M. (2007): </w:t>
      </w:r>
      <w:r w:rsidR="00E74609">
        <w:t xml:space="preserve">Internal Conversations and their Outwards”, pp. 269-313 in </w:t>
      </w:r>
      <w:r w:rsidRPr="002845BB">
        <w:rPr>
          <w:i/>
        </w:rPr>
        <w:t>Making Our Way though the World</w:t>
      </w:r>
      <w:r>
        <w:rPr>
          <w:i/>
        </w:rPr>
        <w:t>.</w:t>
      </w:r>
      <w:r w:rsidRPr="002845BB">
        <w:t xml:space="preserve"> </w:t>
      </w:r>
      <w:r>
        <w:t xml:space="preserve">Cambridge: Cambridge University Press. </w:t>
      </w:r>
    </w:p>
    <w:p w:rsidR="002845BB" w:rsidRDefault="002845BB" w:rsidP="00D35F7B">
      <w:pPr>
        <w:widowControl w:val="0"/>
        <w:autoSpaceDE w:val="0"/>
        <w:autoSpaceDN w:val="0"/>
        <w:adjustRightInd w:val="0"/>
      </w:pPr>
    </w:p>
    <w:p w:rsidR="006539F5" w:rsidRPr="00687542" w:rsidRDefault="006539F5" w:rsidP="00D35F7B">
      <w:pPr>
        <w:widowControl w:val="0"/>
        <w:autoSpaceDE w:val="0"/>
        <w:autoSpaceDN w:val="0"/>
        <w:adjustRightInd w:val="0"/>
        <w:rPr>
          <w:bCs/>
        </w:rPr>
      </w:pPr>
    </w:p>
    <w:p w:rsidR="00EE4AC7" w:rsidRPr="00882E72" w:rsidRDefault="008E5A53" w:rsidP="00D35F7B">
      <w:pPr>
        <w:widowControl w:val="0"/>
        <w:autoSpaceDE w:val="0"/>
        <w:autoSpaceDN w:val="0"/>
        <w:adjustRightInd w:val="0"/>
        <w:rPr>
          <w:b/>
          <w:bCs/>
        </w:rPr>
      </w:pPr>
      <w:r w:rsidRPr="00882E72">
        <w:rPr>
          <w:b/>
          <w:bCs/>
        </w:rPr>
        <w:t>Day 4</w:t>
      </w:r>
      <w:r w:rsidR="00D6058F" w:rsidRPr="00882E72">
        <w:rPr>
          <w:b/>
          <w:bCs/>
        </w:rPr>
        <w:t xml:space="preserve">: </w:t>
      </w:r>
      <w:r w:rsidR="00DF7638" w:rsidRPr="00882E72">
        <w:rPr>
          <w:b/>
          <w:bCs/>
        </w:rPr>
        <w:t>Rituals</w:t>
      </w:r>
      <w:r w:rsidR="00D6058F" w:rsidRPr="00882E72">
        <w:rPr>
          <w:b/>
          <w:bCs/>
        </w:rPr>
        <w:t xml:space="preserve"> and Reciprocity</w:t>
      </w:r>
    </w:p>
    <w:p w:rsidR="00DF7638" w:rsidRPr="00882E72" w:rsidRDefault="00DF7638" w:rsidP="00DF7638">
      <w:pPr>
        <w:widowControl w:val="0"/>
        <w:autoSpaceDE w:val="0"/>
        <w:autoSpaceDN w:val="0"/>
        <w:adjustRightInd w:val="0"/>
        <w:rPr>
          <w:bCs/>
        </w:rPr>
      </w:pPr>
    </w:p>
    <w:p w:rsidR="00DF7638" w:rsidRPr="00680B2B" w:rsidRDefault="00680B2B" w:rsidP="00DF7638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Caillé, A. (2009): </w:t>
      </w:r>
      <w:r w:rsidRPr="00D6058F">
        <w:rPr>
          <w:bCs/>
          <w:lang w:val="fr-FR"/>
        </w:rPr>
        <w:t>“</w:t>
      </w:r>
      <w:r w:rsidR="00DF7638" w:rsidRPr="00DF7638">
        <w:rPr>
          <w:bCs/>
          <w:lang w:val="fr-FR"/>
        </w:rPr>
        <w:t>Vers une théori</w:t>
      </w:r>
      <w:r>
        <w:rPr>
          <w:bCs/>
          <w:lang w:val="fr-FR"/>
        </w:rPr>
        <w:t>e anti-utilitariste de l´action</w:t>
      </w:r>
      <w:r w:rsidRPr="00680B2B">
        <w:rPr>
          <w:lang w:val="fr-FR"/>
        </w:rPr>
        <w:t>”</w:t>
      </w:r>
      <w:r w:rsidR="00DF7638" w:rsidRPr="00DF7638">
        <w:rPr>
          <w:bCs/>
          <w:lang w:val="fr-FR"/>
        </w:rPr>
        <w:t xml:space="preserve">, pp. 11-74 in </w:t>
      </w:r>
      <w:r w:rsidR="00DF7638" w:rsidRPr="00DF7638">
        <w:rPr>
          <w:bCs/>
          <w:i/>
          <w:lang w:val="fr-FR"/>
        </w:rPr>
        <w:t>Théorie anti-utilitariste de l’action. Frag</w:t>
      </w:r>
      <w:r>
        <w:rPr>
          <w:bCs/>
          <w:i/>
          <w:lang w:val="fr-FR"/>
        </w:rPr>
        <w:t xml:space="preserve">ments d´une sociologie générale. </w:t>
      </w:r>
      <w:r w:rsidRPr="00680B2B">
        <w:rPr>
          <w:bCs/>
          <w:lang w:val="fr-FR"/>
        </w:rPr>
        <w:t>Paris : La Découverte.</w:t>
      </w:r>
    </w:p>
    <w:p w:rsidR="00DF7638" w:rsidRDefault="00DF7638" w:rsidP="001566D6">
      <w:pPr>
        <w:spacing w:line="276" w:lineRule="auto"/>
        <w:rPr>
          <w:lang w:val="fr-FR"/>
        </w:rPr>
      </w:pPr>
    </w:p>
    <w:p w:rsidR="00DF7638" w:rsidRPr="00680B2B" w:rsidRDefault="001566D6" w:rsidP="00DF7638">
      <w:pPr>
        <w:spacing w:line="276" w:lineRule="auto"/>
        <w:rPr>
          <w:lang w:val="fr-FR"/>
        </w:rPr>
      </w:pPr>
      <w:r w:rsidRPr="00680B2B">
        <w:rPr>
          <w:lang w:val="fr-FR"/>
        </w:rPr>
        <w:t xml:space="preserve">Collins, R.: </w:t>
      </w:r>
      <w:r w:rsidR="00680B2B" w:rsidRPr="00680B2B">
        <w:rPr>
          <w:bCs/>
          <w:lang w:val="fr-FR"/>
        </w:rPr>
        <w:t>“</w:t>
      </w:r>
      <w:r w:rsidR="00DF7638" w:rsidRPr="00680B2B">
        <w:rPr>
          <w:lang w:val="fr-FR"/>
        </w:rPr>
        <w:t xml:space="preserve">The Program of Interaction </w:t>
      </w:r>
      <w:proofErr w:type="spellStart"/>
      <w:r w:rsidR="00DF7638" w:rsidRPr="00680B2B">
        <w:rPr>
          <w:lang w:val="fr-FR"/>
        </w:rPr>
        <w:t>Ritual</w:t>
      </w:r>
      <w:proofErr w:type="spellEnd"/>
      <w:r w:rsidR="00DF7638" w:rsidRPr="00680B2B">
        <w:rPr>
          <w:lang w:val="fr-FR"/>
        </w:rPr>
        <w:t xml:space="preserve"> Theory</w:t>
      </w:r>
      <w:r w:rsidR="00680B2B" w:rsidRPr="00680B2B">
        <w:rPr>
          <w:lang w:val="fr-FR"/>
        </w:rPr>
        <w:t>”</w:t>
      </w:r>
      <w:r w:rsidR="00DF7638" w:rsidRPr="00680B2B">
        <w:rPr>
          <w:lang w:val="fr-FR"/>
        </w:rPr>
        <w:t>, pp. pp. 3-46, notes, pp. 375-379.</w:t>
      </w:r>
    </w:p>
    <w:p w:rsidR="001566D6" w:rsidRPr="00D6058F" w:rsidRDefault="001566D6" w:rsidP="001566D6">
      <w:pPr>
        <w:spacing w:line="276" w:lineRule="auto"/>
      </w:pPr>
      <w:proofErr w:type="gramStart"/>
      <w:r w:rsidRPr="00D6058F">
        <w:rPr>
          <w:i/>
        </w:rPr>
        <w:t>Interaction Ritual Chains</w:t>
      </w:r>
      <w:r w:rsidR="00DF7638" w:rsidRPr="00D6058F">
        <w:t>.</w:t>
      </w:r>
      <w:proofErr w:type="gramEnd"/>
      <w:r w:rsidR="00DF7638" w:rsidRPr="00D6058F">
        <w:t xml:space="preserve"> Princeton: Princeton University Press.</w:t>
      </w:r>
    </w:p>
    <w:p w:rsidR="00DF7638" w:rsidRPr="00D6058F" w:rsidRDefault="00DF7638" w:rsidP="008E5A53">
      <w:pPr>
        <w:widowControl w:val="0"/>
        <w:autoSpaceDE w:val="0"/>
        <w:autoSpaceDN w:val="0"/>
        <w:adjustRightInd w:val="0"/>
        <w:rPr>
          <w:b/>
          <w:bCs/>
        </w:rPr>
      </w:pPr>
    </w:p>
    <w:p w:rsidR="008E5A53" w:rsidRPr="00BF195D" w:rsidRDefault="00BF195D" w:rsidP="008E5A53">
      <w:pPr>
        <w:widowControl w:val="0"/>
        <w:autoSpaceDE w:val="0"/>
        <w:autoSpaceDN w:val="0"/>
        <w:adjustRightInd w:val="0"/>
        <w:rPr>
          <w:b/>
          <w:bCs/>
        </w:rPr>
      </w:pPr>
      <w:r w:rsidRPr="00BF195D">
        <w:rPr>
          <w:b/>
          <w:bCs/>
        </w:rPr>
        <w:t>Day 5</w:t>
      </w:r>
      <w:r w:rsidR="008E5A53" w:rsidRPr="00BF195D">
        <w:rPr>
          <w:b/>
          <w:bCs/>
        </w:rPr>
        <w:t xml:space="preserve">: </w:t>
      </w:r>
      <w:r w:rsidR="00A23E8E">
        <w:rPr>
          <w:b/>
          <w:bCs/>
        </w:rPr>
        <w:t>Agency and Society</w:t>
      </w:r>
    </w:p>
    <w:p w:rsidR="00D6058F" w:rsidRDefault="00D6058F" w:rsidP="008E5A53">
      <w:pPr>
        <w:widowControl w:val="0"/>
        <w:autoSpaceDE w:val="0"/>
        <w:autoSpaceDN w:val="0"/>
        <w:adjustRightInd w:val="0"/>
        <w:rPr>
          <w:bCs/>
        </w:rPr>
      </w:pPr>
    </w:p>
    <w:p w:rsidR="00BF195D" w:rsidRPr="00D6058F" w:rsidRDefault="00D6058F" w:rsidP="008E5A53">
      <w:pPr>
        <w:widowControl w:val="0"/>
        <w:autoSpaceDE w:val="0"/>
        <w:autoSpaceDN w:val="0"/>
        <w:adjustRightInd w:val="0"/>
        <w:rPr>
          <w:bCs/>
          <w:lang w:val="fr-FR"/>
        </w:rPr>
      </w:pPr>
      <w:proofErr w:type="spellStart"/>
      <w:r w:rsidRPr="00D6058F">
        <w:rPr>
          <w:bCs/>
          <w:lang w:val="fr-FR"/>
        </w:rPr>
        <w:t>Dubet</w:t>
      </w:r>
      <w:proofErr w:type="spellEnd"/>
      <w:r w:rsidRPr="00D6058F">
        <w:rPr>
          <w:bCs/>
          <w:lang w:val="fr-FR"/>
        </w:rPr>
        <w:t>, F. : “Les mutations du mod</w:t>
      </w:r>
      <w:r>
        <w:rPr>
          <w:bCs/>
          <w:lang w:val="fr-FR"/>
        </w:rPr>
        <w:t>èle</w:t>
      </w:r>
      <w:r w:rsidR="00680B2B" w:rsidRPr="00680B2B">
        <w:rPr>
          <w:lang w:val="fr-FR"/>
        </w:rPr>
        <w:t>”</w:t>
      </w:r>
      <w:r>
        <w:rPr>
          <w:bCs/>
          <w:lang w:val="fr-FR"/>
        </w:rPr>
        <w:t xml:space="preserve">, pp. 51-89 et </w:t>
      </w:r>
      <w:r w:rsidR="00A23E8E" w:rsidRPr="00D6058F">
        <w:rPr>
          <w:bCs/>
          <w:lang w:val="fr-FR"/>
        </w:rPr>
        <w:t>“</w:t>
      </w:r>
      <w:r>
        <w:rPr>
          <w:bCs/>
          <w:lang w:val="fr-FR"/>
        </w:rPr>
        <w:t>L’expérience sociale et l´action</w:t>
      </w:r>
      <w:r w:rsidR="00680B2B" w:rsidRPr="00680B2B">
        <w:rPr>
          <w:lang w:val="fr-FR"/>
        </w:rPr>
        <w:t>”</w:t>
      </w:r>
      <w:r>
        <w:rPr>
          <w:bCs/>
          <w:lang w:val="fr-FR"/>
        </w:rPr>
        <w:t xml:space="preserve">, pp. 91-134 in </w:t>
      </w:r>
      <w:r w:rsidRPr="00D6058F">
        <w:rPr>
          <w:bCs/>
          <w:i/>
          <w:lang w:val="fr-FR"/>
        </w:rPr>
        <w:t>Sociologie de l´expérience</w:t>
      </w:r>
      <w:r>
        <w:rPr>
          <w:bCs/>
          <w:lang w:val="fr-FR"/>
        </w:rPr>
        <w:t xml:space="preserve">. Paris : Seuil. </w:t>
      </w:r>
    </w:p>
    <w:p w:rsidR="00BF195D" w:rsidRPr="00D6058F" w:rsidRDefault="00BF195D" w:rsidP="00BF195D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fr-FR"/>
        </w:rPr>
      </w:pPr>
    </w:p>
    <w:p w:rsidR="008E5A53" w:rsidRPr="00680B2B" w:rsidRDefault="00D6058F" w:rsidP="00CF0175">
      <w:pPr>
        <w:rPr>
          <w:lang w:val="fr-FR"/>
        </w:rPr>
      </w:pPr>
      <w:r w:rsidRPr="00680B2B">
        <w:rPr>
          <w:lang w:val="fr-FR"/>
        </w:rPr>
        <w:t xml:space="preserve">Freitag, M.: </w:t>
      </w:r>
      <w:r w:rsidR="00680B2B" w:rsidRPr="00D6058F">
        <w:rPr>
          <w:bCs/>
          <w:lang w:val="fr-FR"/>
        </w:rPr>
        <w:t>“</w:t>
      </w:r>
      <w:r w:rsidR="00680B2B" w:rsidRPr="00680B2B">
        <w:rPr>
          <w:rStyle w:val="nfase"/>
          <w:b w:val="0"/>
          <w:lang w:val="fr-FR"/>
        </w:rPr>
        <w:t>Pour un dépassement</w:t>
      </w:r>
      <w:r w:rsidR="00680B2B">
        <w:rPr>
          <w:lang w:val="fr-FR"/>
        </w:rPr>
        <w:t xml:space="preserve"> de l'opposition entre ‘holisme’</w:t>
      </w:r>
      <w:r w:rsidR="00680B2B" w:rsidRPr="00680B2B">
        <w:rPr>
          <w:lang w:val="fr-FR"/>
        </w:rPr>
        <w:t xml:space="preserve"> et</w:t>
      </w:r>
      <w:r w:rsidR="00680B2B">
        <w:rPr>
          <w:lang w:val="fr-FR"/>
        </w:rPr>
        <w:t xml:space="preserve"> ‘individualisme’ en sociologie</w:t>
      </w:r>
      <w:r w:rsidR="00680B2B" w:rsidRPr="00680B2B">
        <w:rPr>
          <w:lang w:val="fr-FR"/>
        </w:rPr>
        <w:t>”</w:t>
      </w:r>
      <w:r w:rsidR="00680B2B">
        <w:rPr>
          <w:lang w:val="fr-FR"/>
        </w:rPr>
        <w:t xml:space="preserve">, </w:t>
      </w:r>
      <w:r w:rsidR="00680B2B" w:rsidRPr="00680B2B">
        <w:rPr>
          <w:i/>
          <w:lang w:val="fr-FR"/>
        </w:rPr>
        <w:t>Revue européenne des sciences sociales</w:t>
      </w:r>
      <w:r w:rsidR="00680B2B">
        <w:rPr>
          <w:lang w:val="fr-FR"/>
        </w:rPr>
        <w:t>, vol. XXXII, no. 99, pp. 169-219.</w:t>
      </w:r>
    </w:p>
    <w:sectPr w:rsidR="008E5A53" w:rsidRPr="00680B2B" w:rsidSect="009306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CF0175"/>
    <w:rsid w:val="00054473"/>
    <w:rsid w:val="000D4CD7"/>
    <w:rsid w:val="001566D6"/>
    <w:rsid w:val="001F39BD"/>
    <w:rsid w:val="002845BB"/>
    <w:rsid w:val="00360E2C"/>
    <w:rsid w:val="00470DFC"/>
    <w:rsid w:val="0050737A"/>
    <w:rsid w:val="00545ECA"/>
    <w:rsid w:val="006539F5"/>
    <w:rsid w:val="00680B2B"/>
    <w:rsid w:val="00687542"/>
    <w:rsid w:val="00787BCD"/>
    <w:rsid w:val="007C01E8"/>
    <w:rsid w:val="007C4462"/>
    <w:rsid w:val="007F3A74"/>
    <w:rsid w:val="00882E72"/>
    <w:rsid w:val="008E5A53"/>
    <w:rsid w:val="00903D5A"/>
    <w:rsid w:val="009306C6"/>
    <w:rsid w:val="009E37D1"/>
    <w:rsid w:val="009F4E9E"/>
    <w:rsid w:val="00A23E8E"/>
    <w:rsid w:val="00AD7740"/>
    <w:rsid w:val="00B36CFF"/>
    <w:rsid w:val="00B70E34"/>
    <w:rsid w:val="00B93368"/>
    <w:rsid w:val="00BA2A2F"/>
    <w:rsid w:val="00BB5157"/>
    <w:rsid w:val="00BE5174"/>
    <w:rsid w:val="00BF195D"/>
    <w:rsid w:val="00C20B64"/>
    <w:rsid w:val="00C311A9"/>
    <w:rsid w:val="00CF0175"/>
    <w:rsid w:val="00D35F7B"/>
    <w:rsid w:val="00D6058F"/>
    <w:rsid w:val="00DC1EE7"/>
    <w:rsid w:val="00DF7638"/>
    <w:rsid w:val="00E74609"/>
    <w:rsid w:val="00EE4AC7"/>
    <w:rsid w:val="00EF2C1C"/>
    <w:rsid w:val="00FB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D35F7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35F7B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35F7B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har"/>
    <w:qFormat/>
    <w:rsid w:val="00D35F7B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5F7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tulo2Char">
    <w:name w:val="Título 2 Char"/>
    <w:basedOn w:val="Fontepargpadro"/>
    <w:link w:val="Ttulo2"/>
    <w:rsid w:val="00D35F7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rsid w:val="00D35F7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Ttulo4Char">
    <w:name w:val="Título 4 Char"/>
    <w:basedOn w:val="Fontepargpadro"/>
    <w:link w:val="Ttulo4"/>
    <w:rsid w:val="00D35F7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rsid w:val="00D35F7B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D35F7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Forte">
    <w:name w:val="Strong"/>
    <w:basedOn w:val="Fontepargpadro"/>
    <w:qFormat/>
    <w:rsid w:val="00D35F7B"/>
    <w:rPr>
      <w:b/>
      <w:bCs/>
    </w:rPr>
  </w:style>
  <w:style w:type="paragraph" w:styleId="Corpodetexto2">
    <w:name w:val="Body Text 2"/>
    <w:basedOn w:val="Normal"/>
    <w:link w:val="Corpodetexto2Char"/>
    <w:rsid w:val="00D35F7B"/>
    <w:pPr>
      <w:widowControl w:val="0"/>
      <w:autoSpaceDE w:val="0"/>
      <w:autoSpaceDN w:val="0"/>
      <w:adjustRightInd w:val="0"/>
      <w:jc w:val="both"/>
    </w:pPr>
  </w:style>
  <w:style w:type="character" w:customStyle="1" w:styleId="Corpodetexto2Char">
    <w:name w:val="Corpo de texto 2 Char"/>
    <w:basedOn w:val="Fontepargpadro"/>
    <w:link w:val="Corpodetexto2"/>
    <w:rsid w:val="00D35F7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fase">
    <w:name w:val="Emphasis"/>
    <w:basedOn w:val="Fontepargpadro"/>
    <w:uiPriority w:val="20"/>
    <w:qFormat/>
    <w:rsid w:val="00787BC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IUPERJ</dc:creator>
  <cp:keywords/>
  <dc:description/>
  <cp:lastModifiedBy>IUPERJ</cp:lastModifiedBy>
  <cp:revision>2</cp:revision>
  <cp:lastPrinted>2011-03-28T19:19:00Z</cp:lastPrinted>
  <dcterms:created xsi:type="dcterms:W3CDTF">2011-03-30T16:24:00Z</dcterms:created>
  <dcterms:modified xsi:type="dcterms:W3CDTF">2011-03-30T16:24:00Z</dcterms:modified>
</cp:coreProperties>
</file>